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5C" w:rsidRPr="002A1F5C" w:rsidRDefault="00D47544" w:rsidP="002A1F5C">
      <w:pPr>
        <w:pStyle w:val="Default"/>
        <w:jc w:val="center"/>
        <w:rPr>
          <w:b/>
          <w:u w:val="single"/>
        </w:rPr>
      </w:pPr>
      <w:r>
        <w:rPr>
          <w:b/>
          <w:u w:val="single"/>
        </w:rPr>
        <w:t xml:space="preserve">Covid Vaccinations </w:t>
      </w:r>
      <w:r w:rsidR="002A1F5C" w:rsidRPr="002A1F5C">
        <w:rPr>
          <w:b/>
          <w:u w:val="single"/>
        </w:rPr>
        <w:t>Message to Patients</w:t>
      </w:r>
    </w:p>
    <w:p w:rsidR="002A1F5C" w:rsidRDefault="002A1F5C" w:rsidP="002A1F5C">
      <w:pPr>
        <w:pStyle w:val="Default"/>
      </w:pPr>
    </w:p>
    <w:p w:rsidR="002A1F5C" w:rsidRDefault="002A1F5C" w:rsidP="002A1F5C">
      <w:pPr>
        <w:pStyle w:val="Default"/>
      </w:pPr>
    </w:p>
    <w:p w:rsidR="002A1F5C" w:rsidRDefault="002A1F5C" w:rsidP="002A1F5C">
      <w:pPr>
        <w:pStyle w:val="Default"/>
        <w:rPr>
          <w:sz w:val="32"/>
          <w:szCs w:val="32"/>
        </w:rPr>
      </w:pPr>
      <w:r>
        <w:rPr>
          <w:b/>
          <w:bCs/>
          <w:sz w:val="32"/>
          <w:szCs w:val="32"/>
        </w:rPr>
        <w:t>Covid Vaccination Programme</w:t>
      </w:r>
    </w:p>
    <w:p w:rsidR="004D406A" w:rsidRDefault="002A1F5C" w:rsidP="002A1F5C">
      <w:pPr>
        <w:rPr>
          <w:sz w:val="23"/>
          <w:szCs w:val="23"/>
        </w:rPr>
      </w:pPr>
      <w:r>
        <w:rPr>
          <w:sz w:val="23"/>
          <w:szCs w:val="23"/>
        </w:rPr>
        <w:t>The current priority is to vaccinate the over 80s, the care home staff and the primary care staff. We would hope within the next couple of weeks we will see the Oxford AstraZeneca vaccine licensed which will make the delivery of the programme far easier for primary care.</w:t>
      </w:r>
    </w:p>
    <w:p w:rsidR="002A1F5C" w:rsidRDefault="002A1F5C" w:rsidP="002A1F5C">
      <w:pPr>
        <w:pStyle w:val="Default"/>
      </w:pPr>
    </w:p>
    <w:p w:rsidR="002A1F5C" w:rsidRDefault="002A1F5C" w:rsidP="002A1F5C">
      <w:pPr>
        <w:pStyle w:val="Default"/>
        <w:rPr>
          <w:sz w:val="23"/>
          <w:szCs w:val="23"/>
        </w:rPr>
      </w:pPr>
      <w:r>
        <w:rPr>
          <w:b/>
          <w:bCs/>
          <w:sz w:val="23"/>
          <w:szCs w:val="23"/>
        </w:rPr>
        <w:t>Community vaccination centres</w:t>
      </w:r>
    </w:p>
    <w:p w:rsidR="002A1F5C" w:rsidRDefault="002A1F5C" w:rsidP="002A1F5C">
      <w:pPr>
        <w:rPr>
          <w:sz w:val="23"/>
          <w:szCs w:val="23"/>
        </w:rPr>
      </w:pPr>
      <w:r>
        <w:rPr>
          <w:sz w:val="23"/>
          <w:szCs w:val="23"/>
        </w:rPr>
        <w:t>Across the country we have started with the over 80s and some sites are beginning to offer slots to care home staff and some practice staff. As we progress we will have new cohorts by age but we also need the flexibility to vaccinate those at most risk such as the people with severe learning disabilities. The delivery of the vaccination programme to the housebound and care homes is clearly important and needs to be carried out in partnership with our community teams. The AstraZeneca vaccine is going to be the most suitable for the community vaccination centres, the housebound and care homes.</w:t>
      </w:r>
    </w:p>
    <w:p w:rsidR="002A1F5C" w:rsidRDefault="002A1F5C" w:rsidP="002A1F5C">
      <w:pPr>
        <w:rPr>
          <w:sz w:val="23"/>
          <w:szCs w:val="23"/>
        </w:rPr>
      </w:pPr>
    </w:p>
    <w:p w:rsidR="002A1F5C" w:rsidRDefault="002A1F5C" w:rsidP="002A1F5C">
      <w:pPr>
        <w:rPr>
          <w:sz w:val="23"/>
          <w:szCs w:val="23"/>
        </w:rPr>
      </w:pPr>
      <w:r w:rsidRPr="00D47544">
        <w:rPr>
          <w:b/>
          <w:sz w:val="23"/>
          <w:szCs w:val="23"/>
        </w:rPr>
        <w:t>Please Do Not Call</w:t>
      </w:r>
      <w:r>
        <w:rPr>
          <w:sz w:val="23"/>
          <w:szCs w:val="23"/>
        </w:rPr>
        <w:t xml:space="preserve"> your surgery to enquire about the Covid Vaccination Programme. </w:t>
      </w:r>
      <w:r w:rsidR="00D47544">
        <w:rPr>
          <w:sz w:val="23"/>
          <w:szCs w:val="23"/>
        </w:rPr>
        <w:t xml:space="preserve">Your Surgery has a priority list. </w:t>
      </w:r>
      <w:r>
        <w:rPr>
          <w:sz w:val="23"/>
          <w:szCs w:val="23"/>
        </w:rPr>
        <w:t xml:space="preserve">Please wait to be contacted </w:t>
      </w:r>
      <w:r w:rsidR="00D47544">
        <w:rPr>
          <w:sz w:val="23"/>
          <w:szCs w:val="23"/>
        </w:rPr>
        <w:t>by them once the vaccines are available.</w:t>
      </w:r>
    </w:p>
    <w:p w:rsidR="006917FC" w:rsidRDefault="006917FC" w:rsidP="002A1F5C">
      <w:pPr>
        <w:rPr>
          <w:sz w:val="23"/>
          <w:szCs w:val="23"/>
        </w:rPr>
      </w:pPr>
    </w:p>
    <w:tbl>
      <w:tblPr>
        <w:tblStyle w:val="TableGrid"/>
        <w:tblW w:w="0" w:type="auto"/>
        <w:tblLayout w:type="fixed"/>
        <w:tblLook w:val="04A0" w:firstRow="1" w:lastRow="0" w:firstColumn="1" w:lastColumn="0" w:noHBand="0" w:noVBand="1"/>
      </w:tblPr>
      <w:tblGrid>
        <w:gridCol w:w="1048"/>
        <w:gridCol w:w="5672"/>
      </w:tblGrid>
      <w:tr w:rsidR="006917FC" w:rsidRPr="00102B66" w:rsidTr="00704AA0">
        <w:tc>
          <w:tcPr>
            <w:tcW w:w="1048" w:type="dxa"/>
          </w:tcPr>
          <w:p w:rsidR="006917FC" w:rsidRPr="00102B66" w:rsidRDefault="006917FC" w:rsidP="00704AA0">
            <w:pPr>
              <w:spacing w:before="60" w:after="60"/>
              <w:jc w:val="left"/>
              <w:rPr>
                <w:rFonts w:cs="Arial"/>
                <w:b/>
                <w:color w:val="000000"/>
                <w:sz w:val="22"/>
                <w:szCs w:val="22"/>
              </w:rPr>
            </w:pPr>
            <w:r w:rsidRPr="00102B66">
              <w:rPr>
                <w:b/>
                <w:sz w:val="22"/>
                <w:szCs w:val="22"/>
              </w:rPr>
              <w:t xml:space="preserve">Priority </w:t>
            </w:r>
          </w:p>
        </w:tc>
        <w:tc>
          <w:tcPr>
            <w:tcW w:w="5672" w:type="dxa"/>
          </w:tcPr>
          <w:p w:rsidR="006917FC" w:rsidRPr="00102B66" w:rsidRDefault="006917FC" w:rsidP="00704AA0">
            <w:pPr>
              <w:spacing w:before="60" w:after="60"/>
              <w:jc w:val="left"/>
              <w:rPr>
                <w:b/>
                <w:sz w:val="22"/>
                <w:szCs w:val="22"/>
              </w:rPr>
            </w:pPr>
            <w:r w:rsidRPr="00102B66">
              <w:rPr>
                <w:b/>
                <w:sz w:val="22"/>
                <w:szCs w:val="22"/>
              </w:rPr>
              <w:t>Risk group</w:t>
            </w:r>
          </w:p>
        </w:tc>
      </w:tr>
      <w:tr w:rsidR="006917FC" w:rsidRPr="00102B66" w:rsidTr="00704AA0">
        <w:tc>
          <w:tcPr>
            <w:tcW w:w="1048" w:type="dxa"/>
          </w:tcPr>
          <w:p w:rsidR="006917FC" w:rsidRPr="00102B66" w:rsidRDefault="006917FC" w:rsidP="00704AA0">
            <w:pPr>
              <w:spacing w:before="60" w:after="60"/>
              <w:rPr>
                <w:rFonts w:cs="Arial"/>
                <w:color w:val="000000"/>
                <w:sz w:val="22"/>
                <w:szCs w:val="22"/>
              </w:rPr>
            </w:pPr>
            <w:r w:rsidRPr="00102B66">
              <w:rPr>
                <w:rFonts w:cs="Arial"/>
                <w:color w:val="000000"/>
                <w:sz w:val="22"/>
                <w:szCs w:val="22"/>
              </w:rPr>
              <w:t>1</w:t>
            </w:r>
          </w:p>
        </w:tc>
        <w:tc>
          <w:tcPr>
            <w:tcW w:w="5672" w:type="dxa"/>
          </w:tcPr>
          <w:p w:rsidR="006917FC" w:rsidRPr="00102B66" w:rsidRDefault="006917FC" w:rsidP="00704AA0">
            <w:pPr>
              <w:spacing w:before="60" w:after="60"/>
              <w:jc w:val="left"/>
              <w:rPr>
                <w:rFonts w:cs="Arial"/>
                <w:color w:val="000000"/>
                <w:sz w:val="22"/>
                <w:szCs w:val="22"/>
              </w:rPr>
            </w:pPr>
            <w:r w:rsidRPr="00102B66">
              <w:rPr>
                <w:sz w:val="22"/>
                <w:szCs w:val="22"/>
              </w:rPr>
              <w:t>Residents in a care home for older adults and their carers</w:t>
            </w:r>
          </w:p>
        </w:tc>
      </w:tr>
      <w:tr w:rsidR="006917FC" w:rsidRPr="00102B66" w:rsidTr="00704AA0">
        <w:tc>
          <w:tcPr>
            <w:tcW w:w="1048" w:type="dxa"/>
          </w:tcPr>
          <w:p w:rsidR="006917FC" w:rsidRPr="00102B66" w:rsidRDefault="006917FC" w:rsidP="00704AA0">
            <w:pPr>
              <w:spacing w:before="60" w:after="60"/>
              <w:rPr>
                <w:rFonts w:cs="Arial"/>
                <w:color w:val="000000"/>
                <w:sz w:val="22"/>
                <w:szCs w:val="22"/>
              </w:rPr>
            </w:pPr>
            <w:r w:rsidRPr="00102B66">
              <w:rPr>
                <w:rFonts w:cs="Arial"/>
                <w:color w:val="000000"/>
                <w:sz w:val="22"/>
                <w:szCs w:val="22"/>
              </w:rPr>
              <w:t>2</w:t>
            </w:r>
          </w:p>
        </w:tc>
        <w:tc>
          <w:tcPr>
            <w:tcW w:w="5672" w:type="dxa"/>
          </w:tcPr>
          <w:p w:rsidR="006917FC" w:rsidRPr="00102B66" w:rsidRDefault="006917FC" w:rsidP="00704AA0">
            <w:pPr>
              <w:spacing w:before="60" w:after="60"/>
              <w:jc w:val="left"/>
              <w:rPr>
                <w:sz w:val="22"/>
                <w:szCs w:val="22"/>
              </w:rPr>
            </w:pPr>
            <w:r w:rsidRPr="00102B66">
              <w:rPr>
                <w:sz w:val="22"/>
                <w:szCs w:val="22"/>
              </w:rPr>
              <w:t xml:space="preserve">All those 80 years of age and over </w:t>
            </w:r>
          </w:p>
          <w:p w:rsidR="006917FC" w:rsidRPr="00102B66" w:rsidRDefault="006917FC" w:rsidP="00704AA0">
            <w:pPr>
              <w:spacing w:before="60" w:after="60"/>
              <w:jc w:val="left"/>
              <w:rPr>
                <w:rFonts w:cs="Arial"/>
                <w:color w:val="000000"/>
                <w:sz w:val="22"/>
                <w:szCs w:val="22"/>
              </w:rPr>
            </w:pPr>
            <w:r w:rsidRPr="00102B66">
              <w:rPr>
                <w:sz w:val="22"/>
                <w:szCs w:val="22"/>
              </w:rPr>
              <w:t>Frontline health and social care workers (</w:t>
            </w:r>
            <w:r w:rsidRPr="00102B66">
              <w:rPr>
                <w:rFonts w:cs="Arial"/>
                <w:sz w:val="22"/>
                <w:szCs w:val="22"/>
              </w:rPr>
              <w:t xml:space="preserve">see </w:t>
            </w:r>
            <w:hyperlink r:id="rId7" w:history="1">
              <w:r w:rsidRPr="00102B66">
                <w:rPr>
                  <w:rStyle w:val="Hyperlink"/>
                  <w:rFonts w:cs="Arial"/>
                  <w:sz w:val="22"/>
                  <w:szCs w:val="22"/>
                </w:rPr>
                <w:t>Chapter 14a</w:t>
              </w:r>
            </w:hyperlink>
            <w:r w:rsidRPr="00102B66">
              <w:rPr>
                <w:sz w:val="22"/>
                <w:szCs w:val="22"/>
              </w:rPr>
              <w:t>)</w:t>
            </w:r>
          </w:p>
        </w:tc>
      </w:tr>
      <w:tr w:rsidR="006917FC" w:rsidRPr="00102B66" w:rsidTr="00704AA0">
        <w:tc>
          <w:tcPr>
            <w:tcW w:w="1048" w:type="dxa"/>
          </w:tcPr>
          <w:p w:rsidR="006917FC" w:rsidRPr="00102B66" w:rsidRDefault="006917FC" w:rsidP="00704AA0">
            <w:pPr>
              <w:spacing w:before="60" w:after="60"/>
              <w:rPr>
                <w:rFonts w:cs="Arial"/>
                <w:color w:val="000000"/>
                <w:sz w:val="22"/>
                <w:szCs w:val="22"/>
              </w:rPr>
            </w:pPr>
            <w:r w:rsidRPr="00102B66">
              <w:rPr>
                <w:rFonts w:cs="Arial"/>
                <w:color w:val="000000"/>
                <w:sz w:val="22"/>
                <w:szCs w:val="22"/>
              </w:rPr>
              <w:t>3</w:t>
            </w:r>
          </w:p>
        </w:tc>
        <w:tc>
          <w:tcPr>
            <w:tcW w:w="5672" w:type="dxa"/>
          </w:tcPr>
          <w:p w:rsidR="006917FC" w:rsidRPr="00102B66" w:rsidRDefault="006917FC" w:rsidP="00704AA0">
            <w:pPr>
              <w:spacing w:before="60" w:after="60"/>
              <w:jc w:val="left"/>
              <w:rPr>
                <w:rFonts w:cs="Arial"/>
                <w:color w:val="000000"/>
                <w:sz w:val="22"/>
                <w:szCs w:val="22"/>
              </w:rPr>
            </w:pPr>
            <w:r w:rsidRPr="00102B66">
              <w:rPr>
                <w:sz w:val="22"/>
                <w:szCs w:val="22"/>
              </w:rPr>
              <w:t>All those 75 years of age and over</w:t>
            </w:r>
          </w:p>
        </w:tc>
      </w:tr>
      <w:tr w:rsidR="006917FC" w:rsidRPr="00102B66" w:rsidTr="00704AA0">
        <w:tc>
          <w:tcPr>
            <w:tcW w:w="1048" w:type="dxa"/>
          </w:tcPr>
          <w:p w:rsidR="006917FC" w:rsidRPr="00102B66" w:rsidRDefault="006917FC" w:rsidP="00704AA0">
            <w:pPr>
              <w:spacing w:before="60" w:after="60"/>
              <w:rPr>
                <w:rFonts w:cs="Arial"/>
                <w:color w:val="000000"/>
                <w:sz w:val="22"/>
                <w:szCs w:val="22"/>
              </w:rPr>
            </w:pPr>
            <w:r w:rsidRPr="00102B66">
              <w:rPr>
                <w:rFonts w:cs="Arial"/>
                <w:color w:val="000000"/>
                <w:sz w:val="22"/>
                <w:szCs w:val="22"/>
              </w:rPr>
              <w:t>4</w:t>
            </w:r>
          </w:p>
        </w:tc>
        <w:tc>
          <w:tcPr>
            <w:tcW w:w="5672" w:type="dxa"/>
          </w:tcPr>
          <w:p w:rsidR="006917FC" w:rsidRPr="00102B66" w:rsidRDefault="006917FC" w:rsidP="00704AA0">
            <w:pPr>
              <w:spacing w:before="60" w:after="60"/>
              <w:jc w:val="left"/>
              <w:rPr>
                <w:sz w:val="22"/>
                <w:szCs w:val="22"/>
              </w:rPr>
            </w:pPr>
            <w:r w:rsidRPr="00102B66">
              <w:rPr>
                <w:sz w:val="22"/>
                <w:szCs w:val="22"/>
              </w:rPr>
              <w:t xml:space="preserve">All those 70 years of age and over </w:t>
            </w:r>
          </w:p>
          <w:p w:rsidR="006917FC" w:rsidRPr="00102B66" w:rsidRDefault="006917FC" w:rsidP="00704AA0">
            <w:pPr>
              <w:spacing w:before="60" w:after="60"/>
              <w:jc w:val="left"/>
              <w:rPr>
                <w:rFonts w:cs="Arial"/>
                <w:color w:val="000000"/>
                <w:sz w:val="22"/>
                <w:szCs w:val="22"/>
              </w:rPr>
            </w:pPr>
            <w:r w:rsidRPr="00102B66">
              <w:rPr>
                <w:sz w:val="22"/>
                <w:szCs w:val="22"/>
              </w:rPr>
              <w:t>Clinically extremely vulnerable</w:t>
            </w:r>
            <w:r w:rsidRPr="00102B66">
              <w:rPr>
                <w:rStyle w:val="FootnoteReference"/>
                <w:sz w:val="22"/>
                <w:szCs w:val="22"/>
              </w:rPr>
              <w:footnoteReference w:id="1"/>
            </w:r>
            <w:r w:rsidRPr="00102B66">
              <w:rPr>
                <w:sz w:val="22"/>
                <w:szCs w:val="22"/>
              </w:rPr>
              <w:t xml:space="preserve"> individuals (see </w:t>
            </w:r>
            <w:hyperlink r:id="rId8" w:anchor="cev" w:history="1">
              <w:r w:rsidRPr="00102B66">
                <w:rPr>
                  <w:rStyle w:val="Hyperlink"/>
                  <w:sz w:val="22"/>
                  <w:szCs w:val="22"/>
                </w:rPr>
                <w:t>Definition of clinically extremely vulnerable groups</w:t>
              </w:r>
            </w:hyperlink>
            <w:r w:rsidRPr="00102B66">
              <w:rPr>
                <w:sz w:val="22"/>
                <w:szCs w:val="22"/>
              </w:rPr>
              <w:t>)</w:t>
            </w:r>
          </w:p>
        </w:tc>
      </w:tr>
      <w:tr w:rsidR="006917FC" w:rsidRPr="00102B66" w:rsidTr="00704AA0">
        <w:tc>
          <w:tcPr>
            <w:tcW w:w="1048" w:type="dxa"/>
          </w:tcPr>
          <w:p w:rsidR="006917FC" w:rsidRPr="00102B66" w:rsidRDefault="006917FC" w:rsidP="00704AA0">
            <w:pPr>
              <w:spacing w:before="60" w:after="60"/>
              <w:rPr>
                <w:rFonts w:cs="Arial"/>
                <w:color w:val="000000"/>
                <w:sz w:val="22"/>
                <w:szCs w:val="22"/>
              </w:rPr>
            </w:pPr>
            <w:r w:rsidRPr="00102B66">
              <w:rPr>
                <w:rFonts w:cs="Arial"/>
                <w:color w:val="000000"/>
                <w:sz w:val="22"/>
                <w:szCs w:val="22"/>
              </w:rPr>
              <w:t>5</w:t>
            </w:r>
          </w:p>
        </w:tc>
        <w:tc>
          <w:tcPr>
            <w:tcW w:w="5672" w:type="dxa"/>
          </w:tcPr>
          <w:p w:rsidR="006917FC" w:rsidRPr="00102B66" w:rsidRDefault="006917FC" w:rsidP="00704AA0">
            <w:pPr>
              <w:spacing w:before="60" w:after="60"/>
              <w:jc w:val="left"/>
              <w:rPr>
                <w:rFonts w:cs="Arial"/>
                <w:color w:val="000000"/>
                <w:sz w:val="22"/>
                <w:szCs w:val="22"/>
              </w:rPr>
            </w:pPr>
            <w:r w:rsidRPr="00102B66">
              <w:rPr>
                <w:sz w:val="22"/>
                <w:szCs w:val="22"/>
              </w:rPr>
              <w:t>All those 65 years of age and over</w:t>
            </w:r>
          </w:p>
        </w:tc>
      </w:tr>
      <w:tr w:rsidR="006917FC" w:rsidRPr="00102B66" w:rsidTr="00704AA0">
        <w:tc>
          <w:tcPr>
            <w:tcW w:w="1048" w:type="dxa"/>
          </w:tcPr>
          <w:p w:rsidR="006917FC" w:rsidRPr="00102B66" w:rsidRDefault="006917FC" w:rsidP="00704AA0">
            <w:pPr>
              <w:spacing w:before="60" w:after="60"/>
              <w:rPr>
                <w:rFonts w:cs="Arial"/>
                <w:color w:val="000000"/>
                <w:sz w:val="22"/>
                <w:szCs w:val="22"/>
              </w:rPr>
            </w:pPr>
            <w:r w:rsidRPr="00102B66">
              <w:rPr>
                <w:rFonts w:cs="Arial"/>
                <w:color w:val="000000"/>
                <w:sz w:val="22"/>
                <w:szCs w:val="22"/>
              </w:rPr>
              <w:t>6</w:t>
            </w:r>
          </w:p>
        </w:tc>
        <w:tc>
          <w:tcPr>
            <w:tcW w:w="5672" w:type="dxa"/>
          </w:tcPr>
          <w:p w:rsidR="006917FC" w:rsidRPr="00102B66" w:rsidRDefault="006917FC" w:rsidP="00704AA0">
            <w:pPr>
              <w:spacing w:before="60" w:after="60"/>
              <w:jc w:val="left"/>
              <w:rPr>
                <w:rFonts w:cs="Arial"/>
                <w:color w:val="000000"/>
                <w:sz w:val="22"/>
                <w:szCs w:val="22"/>
              </w:rPr>
            </w:pPr>
            <w:r w:rsidRPr="00102B66">
              <w:rPr>
                <w:sz w:val="22"/>
                <w:szCs w:val="22"/>
              </w:rPr>
              <w:t xml:space="preserve">All individuals aged 16 to 64 years with underlying health conditions which put them at higher risk of serious disease and mortality (see </w:t>
            </w:r>
            <w:hyperlink w:anchor="AppendixA" w:history="1">
              <w:r w:rsidRPr="00102B66">
                <w:rPr>
                  <w:rStyle w:val="Hyperlink"/>
                  <w:sz w:val="22"/>
                  <w:szCs w:val="22"/>
                </w:rPr>
                <w:t>Appendix A</w:t>
              </w:r>
            </w:hyperlink>
            <w:r w:rsidRPr="00102B66">
              <w:rPr>
                <w:sz w:val="22"/>
                <w:szCs w:val="22"/>
              </w:rPr>
              <w:t xml:space="preserve"> or </w:t>
            </w:r>
            <w:hyperlink r:id="rId9" w:history="1">
              <w:r w:rsidRPr="00102B66">
                <w:rPr>
                  <w:rStyle w:val="Hyperlink"/>
                  <w:sz w:val="22"/>
                  <w:szCs w:val="22"/>
                </w:rPr>
                <w:t>Chapter 14a</w:t>
              </w:r>
            </w:hyperlink>
            <w:r w:rsidRPr="00102B66">
              <w:rPr>
                <w:sz w:val="22"/>
                <w:szCs w:val="22"/>
              </w:rPr>
              <w:t>)</w:t>
            </w:r>
          </w:p>
        </w:tc>
      </w:tr>
      <w:tr w:rsidR="006917FC" w:rsidRPr="00102B66" w:rsidTr="00704AA0">
        <w:tc>
          <w:tcPr>
            <w:tcW w:w="1048" w:type="dxa"/>
          </w:tcPr>
          <w:p w:rsidR="006917FC" w:rsidRPr="00102B66" w:rsidRDefault="006917FC" w:rsidP="00704AA0">
            <w:pPr>
              <w:spacing w:before="60" w:after="60"/>
              <w:rPr>
                <w:rFonts w:cs="Arial"/>
                <w:color w:val="000000"/>
                <w:sz w:val="22"/>
                <w:szCs w:val="22"/>
              </w:rPr>
            </w:pPr>
            <w:r w:rsidRPr="00102B66">
              <w:rPr>
                <w:rFonts w:cs="Arial"/>
                <w:color w:val="000000"/>
                <w:sz w:val="22"/>
                <w:szCs w:val="22"/>
              </w:rPr>
              <w:t>7</w:t>
            </w:r>
          </w:p>
        </w:tc>
        <w:tc>
          <w:tcPr>
            <w:tcW w:w="5672" w:type="dxa"/>
          </w:tcPr>
          <w:p w:rsidR="006917FC" w:rsidRPr="00102B66" w:rsidRDefault="006917FC" w:rsidP="00704AA0">
            <w:pPr>
              <w:spacing w:before="60" w:after="60"/>
              <w:jc w:val="left"/>
              <w:rPr>
                <w:rFonts w:cs="Arial"/>
                <w:color w:val="000000"/>
                <w:sz w:val="22"/>
                <w:szCs w:val="22"/>
              </w:rPr>
            </w:pPr>
            <w:r w:rsidRPr="00102B66">
              <w:rPr>
                <w:sz w:val="22"/>
                <w:szCs w:val="22"/>
              </w:rPr>
              <w:t>All those 60 years of age and over</w:t>
            </w:r>
          </w:p>
        </w:tc>
      </w:tr>
      <w:tr w:rsidR="006917FC" w:rsidRPr="00102B66" w:rsidTr="00704AA0">
        <w:tc>
          <w:tcPr>
            <w:tcW w:w="1048" w:type="dxa"/>
          </w:tcPr>
          <w:p w:rsidR="006917FC" w:rsidRPr="00102B66" w:rsidRDefault="006917FC" w:rsidP="00704AA0">
            <w:pPr>
              <w:spacing w:before="60" w:after="60"/>
              <w:rPr>
                <w:rFonts w:cs="Arial"/>
                <w:color w:val="000000"/>
                <w:sz w:val="22"/>
                <w:szCs w:val="22"/>
              </w:rPr>
            </w:pPr>
            <w:r w:rsidRPr="00102B66">
              <w:rPr>
                <w:rFonts w:cs="Arial"/>
                <w:color w:val="000000"/>
                <w:sz w:val="22"/>
                <w:szCs w:val="22"/>
              </w:rPr>
              <w:t>8</w:t>
            </w:r>
          </w:p>
        </w:tc>
        <w:tc>
          <w:tcPr>
            <w:tcW w:w="5672" w:type="dxa"/>
          </w:tcPr>
          <w:p w:rsidR="006917FC" w:rsidRPr="00102B66" w:rsidRDefault="006917FC" w:rsidP="00704AA0">
            <w:pPr>
              <w:spacing w:before="60" w:after="60"/>
              <w:jc w:val="left"/>
              <w:rPr>
                <w:rFonts w:cs="Arial"/>
                <w:color w:val="000000"/>
                <w:sz w:val="22"/>
                <w:szCs w:val="22"/>
              </w:rPr>
            </w:pPr>
            <w:r w:rsidRPr="00102B66">
              <w:rPr>
                <w:sz w:val="22"/>
                <w:szCs w:val="22"/>
              </w:rPr>
              <w:t>All those 55 years of age and over</w:t>
            </w:r>
          </w:p>
        </w:tc>
      </w:tr>
      <w:tr w:rsidR="006917FC" w:rsidRPr="00102B66" w:rsidTr="00704AA0">
        <w:tc>
          <w:tcPr>
            <w:tcW w:w="1048" w:type="dxa"/>
          </w:tcPr>
          <w:p w:rsidR="006917FC" w:rsidRPr="00102B66" w:rsidRDefault="006917FC" w:rsidP="00704AA0">
            <w:pPr>
              <w:spacing w:before="60" w:after="60"/>
              <w:rPr>
                <w:rFonts w:cs="Arial"/>
                <w:color w:val="000000"/>
                <w:sz w:val="22"/>
                <w:szCs w:val="22"/>
              </w:rPr>
            </w:pPr>
            <w:r w:rsidRPr="00102B66">
              <w:rPr>
                <w:rFonts w:cs="Arial"/>
                <w:color w:val="000000"/>
                <w:sz w:val="22"/>
                <w:szCs w:val="22"/>
              </w:rPr>
              <w:t>9</w:t>
            </w:r>
          </w:p>
        </w:tc>
        <w:tc>
          <w:tcPr>
            <w:tcW w:w="5672" w:type="dxa"/>
          </w:tcPr>
          <w:p w:rsidR="006917FC" w:rsidRPr="00102B66" w:rsidRDefault="006917FC" w:rsidP="00704AA0">
            <w:pPr>
              <w:spacing w:before="60" w:after="60"/>
              <w:jc w:val="left"/>
              <w:rPr>
                <w:rFonts w:cs="Arial"/>
                <w:color w:val="000000"/>
                <w:sz w:val="22"/>
                <w:szCs w:val="22"/>
              </w:rPr>
            </w:pPr>
            <w:r w:rsidRPr="00102B66">
              <w:rPr>
                <w:sz w:val="22"/>
                <w:szCs w:val="22"/>
              </w:rPr>
              <w:t>All those 50 years of age and over</w:t>
            </w:r>
          </w:p>
        </w:tc>
      </w:tr>
    </w:tbl>
    <w:p w:rsidR="002A1F5C" w:rsidRDefault="002A1F5C" w:rsidP="006917FC">
      <w:pPr>
        <w:jc w:val="center"/>
      </w:pPr>
      <w:bookmarkStart w:id="0" w:name="_GoBack"/>
      <w:bookmarkEnd w:id="0"/>
    </w:p>
    <w:sectPr w:rsidR="002A1F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CA" w:rsidRDefault="007C7ACA" w:rsidP="002A1F5C">
      <w:r>
        <w:separator/>
      </w:r>
    </w:p>
  </w:endnote>
  <w:endnote w:type="continuationSeparator" w:id="0">
    <w:p w:rsidR="007C7ACA" w:rsidRDefault="007C7ACA" w:rsidP="002A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CA" w:rsidRDefault="007C7ACA" w:rsidP="002A1F5C">
      <w:r>
        <w:separator/>
      </w:r>
    </w:p>
  </w:footnote>
  <w:footnote w:type="continuationSeparator" w:id="0">
    <w:p w:rsidR="007C7ACA" w:rsidRDefault="007C7ACA" w:rsidP="002A1F5C">
      <w:r>
        <w:continuationSeparator/>
      </w:r>
    </w:p>
  </w:footnote>
  <w:footnote w:id="1">
    <w:p w:rsidR="006917FC" w:rsidRDefault="006917FC" w:rsidP="006917F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5C"/>
    <w:rsid w:val="002A1F5C"/>
    <w:rsid w:val="004D406A"/>
    <w:rsid w:val="006917FC"/>
    <w:rsid w:val="007C7ACA"/>
    <w:rsid w:val="008E5EC2"/>
    <w:rsid w:val="00C678A1"/>
    <w:rsid w:val="00D47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F5C"/>
    <w:pPr>
      <w:autoSpaceDE w:val="0"/>
      <w:autoSpaceDN w:val="0"/>
      <w:adjustRightInd w:val="0"/>
    </w:pPr>
    <w:rPr>
      <w:rFonts w:ascii="Source Sans Pro" w:hAnsi="Source Sans Pro" w:cs="Source Sans Pro"/>
      <w:color w:val="000000"/>
      <w:sz w:val="24"/>
      <w:szCs w:val="24"/>
    </w:rPr>
  </w:style>
  <w:style w:type="character" w:styleId="Hyperlink">
    <w:name w:val="Hyperlink"/>
    <w:basedOn w:val="DefaultParagraphFont"/>
    <w:uiPriority w:val="99"/>
    <w:rsid w:val="002A1F5C"/>
    <w:rPr>
      <w:color w:val="0000FF"/>
      <w:u w:val="single"/>
    </w:rPr>
  </w:style>
  <w:style w:type="table" w:styleId="TableGrid">
    <w:name w:val="Table Grid"/>
    <w:basedOn w:val="TableNormal"/>
    <w:uiPriority w:val="59"/>
    <w:rsid w:val="002A1F5C"/>
    <w:pPr>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1F5C"/>
    <w:pPr>
      <w:overflowPunct w:val="0"/>
      <w:autoSpaceDE w:val="0"/>
      <w:autoSpaceDN w:val="0"/>
      <w:adjustRightInd w:val="0"/>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2A1F5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2A1F5C"/>
    <w:rPr>
      <w:vertAlign w:val="superscript"/>
    </w:rPr>
  </w:style>
  <w:style w:type="paragraph" w:styleId="Header">
    <w:name w:val="header"/>
    <w:basedOn w:val="Normal"/>
    <w:link w:val="HeaderChar"/>
    <w:uiPriority w:val="99"/>
    <w:unhideWhenUsed/>
    <w:rsid w:val="00D47544"/>
    <w:pPr>
      <w:tabs>
        <w:tab w:val="center" w:pos="4513"/>
        <w:tab w:val="right" w:pos="9026"/>
      </w:tabs>
    </w:pPr>
  </w:style>
  <w:style w:type="character" w:customStyle="1" w:styleId="HeaderChar">
    <w:name w:val="Header Char"/>
    <w:basedOn w:val="DefaultParagraphFont"/>
    <w:link w:val="Header"/>
    <w:uiPriority w:val="99"/>
    <w:rsid w:val="00D47544"/>
  </w:style>
  <w:style w:type="paragraph" w:styleId="Footer">
    <w:name w:val="footer"/>
    <w:basedOn w:val="Normal"/>
    <w:link w:val="FooterChar"/>
    <w:uiPriority w:val="99"/>
    <w:unhideWhenUsed/>
    <w:rsid w:val="00D47544"/>
    <w:pPr>
      <w:tabs>
        <w:tab w:val="center" w:pos="4513"/>
        <w:tab w:val="right" w:pos="9026"/>
      </w:tabs>
    </w:pPr>
  </w:style>
  <w:style w:type="character" w:customStyle="1" w:styleId="FooterChar">
    <w:name w:val="Footer Char"/>
    <w:basedOn w:val="DefaultParagraphFont"/>
    <w:link w:val="Footer"/>
    <w:uiPriority w:val="99"/>
    <w:rsid w:val="00D47544"/>
  </w:style>
  <w:style w:type="paragraph" w:styleId="BalloonText">
    <w:name w:val="Balloon Text"/>
    <w:basedOn w:val="Normal"/>
    <w:link w:val="BalloonTextChar"/>
    <w:uiPriority w:val="99"/>
    <w:semiHidden/>
    <w:unhideWhenUsed/>
    <w:rsid w:val="006917FC"/>
    <w:rPr>
      <w:rFonts w:ascii="Tahoma" w:hAnsi="Tahoma" w:cs="Tahoma"/>
      <w:sz w:val="16"/>
      <w:szCs w:val="16"/>
    </w:rPr>
  </w:style>
  <w:style w:type="character" w:customStyle="1" w:styleId="BalloonTextChar">
    <w:name w:val="Balloon Text Char"/>
    <w:basedOn w:val="DefaultParagraphFont"/>
    <w:link w:val="BalloonText"/>
    <w:uiPriority w:val="99"/>
    <w:semiHidden/>
    <w:rsid w:val="00691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F5C"/>
    <w:pPr>
      <w:autoSpaceDE w:val="0"/>
      <w:autoSpaceDN w:val="0"/>
      <w:adjustRightInd w:val="0"/>
    </w:pPr>
    <w:rPr>
      <w:rFonts w:ascii="Source Sans Pro" w:hAnsi="Source Sans Pro" w:cs="Source Sans Pro"/>
      <w:color w:val="000000"/>
      <w:sz w:val="24"/>
      <w:szCs w:val="24"/>
    </w:rPr>
  </w:style>
  <w:style w:type="character" w:styleId="Hyperlink">
    <w:name w:val="Hyperlink"/>
    <w:basedOn w:val="DefaultParagraphFont"/>
    <w:uiPriority w:val="99"/>
    <w:rsid w:val="002A1F5C"/>
    <w:rPr>
      <w:color w:val="0000FF"/>
      <w:u w:val="single"/>
    </w:rPr>
  </w:style>
  <w:style w:type="table" w:styleId="TableGrid">
    <w:name w:val="Table Grid"/>
    <w:basedOn w:val="TableNormal"/>
    <w:uiPriority w:val="59"/>
    <w:rsid w:val="002A1F5C"/>
    <w:pPr>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1F5C"/>
    <w:pPr>
      <w:overflowPunct w:val="0"/>
      <w:autoSpaceDE w:val="0"/>
      <w:autoSpaceDN w:val="0"/>
      <w:adjustRightInd w:val="0"/>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2A1F5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2A1F5C"/>
    <w:rPr>
      <w:vertAlign w:val="superscript"/>
    </w:rPr>
  </w:style>
  <w:style w:type="paragraph" w:styleId="Header">
    <w:name w:val="header"/>
    <w:basedOn w:val="Normal"/>
    <w:link w:val="HeaderChar"/>
    <w:uiPriority w:val="99"/>
    <w:unhideWhenUsed/>
    <w:rsid w:val="00D47544"/>
    <w:pPr>
      <w:tabs>
        <w:tab w:val="center" w:pos="4513"/>
        <w:tab w:val="right" w:pos="9026"/>
      </w:tabs>
    </w:pPr>
  </w:style>
  <w:style w:type="character" w:customStyle="1" w:styleId="HeaderChar">
    <w:name w:val="Header Char"/>
    <w:basedOn w:val="DefaultParagraphFont"/>
    <w:link w:val="Header"/>
    <w:uiPriority w:val="99"/>
    <w:rsid w:val="00D47544"/>
  </w:style>
  <w:style w:type="paragraph" w:styleId="Footer">
    <w:name w:val="footer"/>
    <w:basedOn w:val="Normal"/>
    <w:link w:val="FooterChar"/>
    <w:uiPriority w:val="99"/>
    <w:unhideWhenUsed/>
    <w:rsid w:val="00D47544"/>
    <w:pPr>
      <w:tabs>
        <w:tab w:val="center" w:pos="4513"/>
        <w:tab w:val="right" w:pos="9026"/>
      </w:tabs>
    </w:pPr>
  </w:style>
  <w:style w:type="character" w:customStyle="1" w:styleId="FooterChar">
    <w:name w:val="Footer Char"/>
    <w:basedOn w:val="DefaultParagraphFont"/>
    <w:link w:val="Footer"/>
    <w:uiPriority w:val="99"/>
    <w:rsid w:val="00D47544"/>
  </w:style>
  <w:style w:type="paragraph" w:styleId="BalloonText">
    <w:name w:val="Balloon Text"/>
    <w:basedOn w:val="Normal"/>
    <w:link w:val="BalloonTextChar"/>
    <w:uiPriority w:val="99"/>
    <w:semiHidden/>
    <w:unhideWhenUsed/>
    <w:rsid w:val="006917FC"/>
    <w:rPr>
      <w:rFonts w:ascii="Tahoma" w:hAnsi="Tahoma" w:cs="Tahoma"/>
      <w:sz w:val="16"/>
      <w:szCs w:val="16"/>
    </w:rPr>
  </w:style>
  <w:style w:type="character" w:customStyle="1" w:styleId="BalloonTextChar">
    <w:name w:val="Balloon Text Char"/>
    <w:basedOn w:val="DefaultParagraphFont"/>
    <w:link w:val="BalloonText"/>
    <w:uiPriority w:val="99"/>
    <w:semiHidden/>
    <w:rsid w:val="00691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7" Type="http://schemas.openxmlformats.org/officeDocument/2006/relationships/hyperlink" Target="https://www.gov.uk/government/publications/covid-19-the-green-book-chapter-14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vid-19-the-green-book-chapter-1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2021-05-04T15:41:00Z</dcterms:created>
  <dcterms:modified xsi:type="dcterms:W3CDTF">2021-05-04T15:41:00Z</dcterms:modified>
</cp:coreProperties>
</file>